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F7C" w:rsidRDefault="00F60DB3">
      <w:pPr>
        <w:pStyle w:val="Title"/>
      </w:pPr>
      <w:bookmarkStart w:id="0" w:name="_aumng2oyblz7" w:colFirst="0" w:colLast="0"/>
      <w:bookmarkEnd w:id="0"/>
      <w:r>
        <w:t xml:space="preserve">Capacity </w:t>
      </w:r>
      <w:proofErr w:type="spellStart"/>
      <w:r>
        <w:t xml:space="preserve">Self </w:t>
      </w:r>
      <w:bookmarkStart w:id="1" w:name="_GoBack"/>
      <w:bookmarkEnd w:id="1"/>
      <w:r>
        <w:t>Assessment</w:t>
      </w:r>
      <w:proofErr w:type="spellEnd"/>
      <w:r>
        <w:t xml:space="preserve"> - TEMPLATE</w:t>
      </w:r>
    </w:p>
    <w:p w:rsidR="00415F7C" w:rsidRDefault="00415F7C"/>
    <w:p w:rsidR="00415F7C" w:rsidRDefault="00F60DB3">
      <w:r>
        <w:t xml:space="preserve">Introduction  </w:t>
      </w:r>
    </w:p>
    <w:p w:rsidR="00415F7C" w:rsidRDefault="00F60DB3">
      <w:r>
        <w:t>Support to Capacity Development for Lobby &amp;</w:t>
      </w:r>
      <w:r>
        <w:t xml:space="preserve"> Advocacy is a major component of the Open Contracting </w:t>
      </w:r>
      <w:proofErr w:type="spellStart"/>
      <w:r>
        <w:t>programme</w:t>
      </w:r>
      <w:proofErr w:type="spellEnd"/>
      <w:r>
        <w:t xml:space="preserve">.  Any effort to develop capacities starts with an assessment of existing capacity. We believe that the capacity of an organization cannot be “built” from outside; capacity development is the </w:t>
      </w:r>
      <w:r>
        <w:t>own responsibility of an organization. It can be externally supported</w:t>
      </w:r>
      <w:r>
        <w:t>, however. Likewise we believe that capacity assessment also has to start with a self-assessment. The self-assessment is the basis for dialogue with external actors.</w:t>
      </w:r>
    </w:p>
    <w:p w:rsidR="00415F7C" w:rsidRDefault="00415F7C"/>
    <w:p w:rsidR="00415F7C" w:rsidRDefault="00F60DB3">
      <w:r>
        <w:t xml:space="preserve">To facilitate this </w:t>
      </w:r>
      <w:r>
        <w:t>capacity self-assessment for lobby and advocacy we have designed a template of generic items</w:t>
      </w:r>
      <w:r>
        <w:rPr>
          <w:vertAlign w:val="superscript"/>
        </w:rPr>
        <w:footnoteReference w:id="1"/>
      </w:r>
      <w:r>
        <w:t xml:space="preserve"> . The template’s purpose</w:t>
      </w:r>
    </w:p>
    <w:p w:rsidR="00415F7C" w:rsidRDefault="00F60DB3">
      <w:r>
        <w:t>Is to serve as a starting point for our dialogue on capacity development for lobby and advocacy.</w:t>
      </w:r>
    </w:p>
    <w:p w:rsidR="00415F7C" w:rsidRDefault="00415F7C"/>
    <w:p w:rsidR="00415F7C" w:rsidRDefault="00F60DB3">
      <w:r>
        <w:t>The template consists of three parts:</w:t>
      </w:r>
    </w:p>
    <w:p w:rsidR="00415F7C" w:rsidRDefault="00F60DB3">
      <w:pPr>
        <w:numPr>
          <w:ilvl w:val="0"/>
          <w:numId w:val="2"/>
        </w:numPr>
        <w:contextualSpacing/>
      </w:pPr>
      <w:r>
        <w:t>A</w:t>
      </w:r>
      <w:r>
        <w:t xml:space="preserve"> rating of your </w:t>
      </w:r>
      <w:proofErr w:type="spellStart"/>
      <w:r>
        <w:t>organisation’s</w:t>
      </w:r>
      <w:proofErr w:type="spellEnd"/>
      <w:r>
        <w:t xml:space="preserve"> capabilities on the proposed items.</w:t>
      </w:r>
    </w:p>
    <w:p w:rsidR="00415F7C" w:rsidRDefault="00F60DB3">
      <w:pPr>
        <w:numPr>
          <w:ilvl w:val="0"/>
          <w:numId w:val="2"/>
        </w:numPr>
        <w:contextualSpacing/>
      </w:pPr>
      <w:r>
        <w:t>Please note that at the bottom you can add items you think are also relevant for your Lobby &amp; Advocacy capacity. You can also indicate when you think an item is not relevant, or when you ar</w:t>
      </w:r>
      <w:r>
        <w:t>e not clear about the meaning of an item (we obviously hope there are all clear).</w:t>
      </w:r>
    </w:p>
    <w:p w:rsidR="00415F7C" w:rsidRDefault="00F60DB3">
      <w:pPr>
        <w:numPr>
          <w:ilvl w:val="0"/>
          <w:numId w:val="2"/>
        </w:numPr>
        <w:contextualSpacing/>
      </w:pPr>
      <w:r>
        <w:t>A brief summary of what you consider the most important aspects</w:t>
      </w:r>
    </w:p>
    <w:p w:rsidR="00415F7C" w:rsidRDefault="00F60DB3">
      <w:pPr>
        <w:numPr>
          <w:ilvl w:val="0"/>
          <w:numId w:val="2"/>
        </w:numPr>
        <w:contextualSpacing/>
      </w:pPr>
      <w:r>
        <w:t>Your priorities for capacity strengthening.</w:t>
      </w:r>
    </w:p>
    <w:p w:rsidR="00415F7C" w:rsidRDefault="00415F7C"/>
    <w:p w:rsidR="00415F7C" w:rsidRDefault="00415F7C"/>
    <w:p w:rsidR="00415F7C" w:rsidRDefault="00415F7C"/>
    <w:tbl>
      <w:tblPr>
        <w:tblStyle w:val="a"/>
        <w:tblW w:w="13986" w:type="dxa"/>
        <w:jc w:val="center"/>
        <w:tblLayout w:type="fixed"/>
        <w:tblLook w:val="0400" w:firstRow="0" w:lastRow="0" w:firstColumn="0" w:lastColumn="0" w:noHBand="0" w:noVBand="1"/>
      </w:tblPr>
      <w:tblGrid>
        <w:gridCol w:w="849"/>
        <w:gridCol w:w="7586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855"/>
        <w:gridCol w:w="525"/>
      </w:tblGrid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How would you 'rate' - on a scale of 1 (very weak) to 10 (e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xcellent)  your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organisation's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(please mark your scores with an X):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 relevant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 sure</w:t>
            </w: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develop focus, take decisions, plan and translate these into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organisational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action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mobilise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resources (financial, human, facilities)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mobilise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constituency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mobilise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public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C.2.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mobilise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allies &amp; champions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articulate constituency views and needs into an agenda for Lobby and Advocacy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build compelling cases and formulate credible arguments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C.1.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establish credibility and legitimacy as partner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C.2. 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achieve access to resources (financial, knowledge, information, human, facilities)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C.2.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plan and execute strategy effectively, based on a Theory of Change while relating to the context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C.2.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generate,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mobilise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use knowledge as a basis for evidence-based lobby and advocacy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C.2.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relate to decision-making actors, arenas and processes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adapt the scope of the issue to be relevant for the broader network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learn internally (culture of learning and internal reflection)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knowledge of shifting contexts and relevant trends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(external) risks and prepare steps for risk mitigation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adjust to changing contexts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C.3.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adapt lobbying and advocacy to external actors and factors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build and maintain networks with other stakeholders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maintain appropriate communication with the larger network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maintain clarity about relations with relevant networks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deal with tensions in the broader network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involve network partners in learning and decision making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establish and maintain visibility and presence in decision making arenas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relate to decision makers / lobby targets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C.4.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establish credibility and legitimacy in the eyes of decision makers/ lobby targets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C.5.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balance diversity and achieve coherence expressed in vision, strategy and practices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C.5.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establish clear internal processes of participation and clarity of roles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C.5.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include and represent different layers and geographical areas in agenda-setting, policy-influence and changing practice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C.5.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include and represent different layers and geographical areas in representation of the alliance or network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C.5.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deal with diverging opinions, voices, interests and objectives within your network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OC.1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solid understanding of the public budgeting process (budget cycle)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OC.2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solid understanding of public contracting process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solid understanding of the interests of stakeholders involved in public contracting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OC.4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solid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understanding of domain specific issues in public contracting (extractives, constructions, health, education, agriculture, etc.)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solid understanding of relevant data sources and their accessibility and quality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OC.6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solid understanding of the Open Contracting Data Standard (OCDS)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OC.7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access the data sources required for evidence based advocacy (via official sources, FOI requests, scraping, investigations,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OC.8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ability to clean and structure messy datasets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OC.9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data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OC.10</w:t>
            </w:r>
          </w:p>
        </w:tc>
        <w:tc>
          <w:tcPr>
            <w:tcW w:w="7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ability to use data for evidence based advocacy (storytelling,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visualisation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 ability, namely: ability to advocate for law reforms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Other ability,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namely:ability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undertake social accountability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Other ability,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namely:Ability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conduct coalition development and management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Other ability, namely: 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15F7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 ability, namely: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415F7C" w:rsidRDefault="00415F7C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15F7C" w:rsidRDefault="00415F7C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4010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0"/>
      </w:tblGrid>
      <w:tr w:rsidR="00415F7C">
        <w:tc>
          <w:tcPr>
            <w:tcW w:w="14010" w:type="dxa"/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Please summarize what you consider to be the most important aspects of your </w:t>
            </w:r>
            <w:proofErr w:type="spellStart"/>
            <w:r>
              <w:rPr>
                <w:rFonts w:ascii="Calibri" w:eastAsia="Calibri" w:hAnsi="Calibri" w:cs="Calibri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</w:rPr>
              <w:t xml:space="preserve"> Capacity for Lobby &amp; Advocacy in the Open Contracting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?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15F7C">
        <w:tc>
          <w:tcPr>
            <w:tcW w:w="14010" w:type="dxa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</w:tc>
      </w:tr>
    </w:tbl>
    <w:p w:rsidR="00415F7C" w:rsidRDefault="00415F7C">
      <w:pPr>
        <w:rPr>
          <w:rFonts w:ascii="Calibri" w:eastAsia="Calibri" w:hAnsi="Calibri" w:cs="Calibri"/>
        </w:rPr>
      </w:pPr>
    </w:p>
    <w:tbl>
      <w:tblPr>
        <w:tblStyle w:val="a1"/>
        <w:tblW w:w="139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5"/>
      </w:tblGrid>
      <w:tr w:rsidR="00415F7C">
        <w:tc>
          <w:tcPr>
            <w:tcW w:w="13965" w:type="dxa"/>
            <w:shd w:val="clear" w:color="auto" w:fill="EFEFE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F60D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What</w:t>
            </w:r>
            <w:r>
              <w:rPr>
                <w:rFonts w:ascii="Calibri" w:eastAsia="Calibri" w:hAnsi="Calibri" w:cs="Calibri"/>
              </w:rPr>
              <w:t xml:space="preserve"> do you consider to be priority aspects for strengthening your </w:t>
            </w:r>
            <w:proofErr w:type="spellStart"/>
            <w:r>
              <w:rPr>
                <w:rFonts w:ascii="Calibri" w:eastAsia="Calibri" w:hAnsi="Calibri" w:cs="Calibri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</w:rPr>
              <w:t xml:space="preserve"> Capacity for Lobby &amp; </w:t>
            </w:r>
            <w:proofErr w:type="gramStart"/>
            <w:r>
              <w:rPr>
                <w:rFonts w:ascii="Calibri" w:eastAsia="Calibri" w:hAnsi="Calibri" w:cs="Calibri"/>
              </w:rPr>
              <w:t>Advocacy ?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F60DB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topics do you need most help in to strengthen your organization's capacity for Lobby and Advocacy?</w:t>
            </w:r>
          </w:p>
        </w:tc>
      </w:tr>
      <w:tr w:rsidR="00415F7C">
        <w:tc>
          <w:tcPr>
            <w:tcW w:w="13965" w:type="dxa"/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  <w:p w:rsidR="00415F7C" w:rsidRDefault="00415F7C">
            <w:pPr>
              <w:rPr>
                <w:rFonts w:ascii="Calibri" w:eastAsia="Calibri" w:hAnsi="Calibri" w:cs="Calibri"/>
              </w:rPr>
            </w:pPr>
          </w:p>
        </w:tc>
      </w:tr>
    </w:tbl>
    <w:p w:rsidR="00415F7C" w:rsidRDefault="00415F7C">
      <w:pPr>
        <w:rPr>
          <w:rFonts w:ascii="Calibri" w:eastAsia="Calibri" w:hAnsi="Calibri" w:cs="Calibri"/>
          <w:sz w:val="18"/>
          <w:szCs w:val="18"/>
        </w:rPr>
      </w:pPr>
    </w:p>
    <w:p w:rsidR="00415F7C" w:rsidRDefault="00415F7C">
      <w:pPr>
        <w:rPr>
          <w:rFonts w:ascii="Calibri" w:eastAsia="Calibri" w:hAnsi="Calibri" w:cs="Calibri"/>
          <w:sz w:val="18"/>
          <w:szCs w:val="18"/>
        </w:rPr>
      </w:pPr>
    </w:p>
    <w:p w:rsidR="00415F7C" w:rsidRDefault="00415F7C">
      <w:pPr>
        <w:rPr>
          <w:rFonts w:ascii="Calibri" w:eastAsia="Calibri" w:hAnsi="Calibri" w:cs="Calibri"/>
          <w:sz w:val="18"/>
          <w:szCs w:val="18"/>
        </w:rPr>
      </w:pPr>
    </w:p>
    <w:sectPr w:rsidR="00415F7C">
      <w:pgSz w:w="16838" w:h="11906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0DB3">
      <w:pPr>
        <w:spacing w:line="240" w:lineRule="auto"/>
      </w:pPr>
      <w:r>
        <w:separator/>
      </w:r>
    </w:p>
  </w:endnote>
  <w:endnote w:type="continuationSeparator" w:id="0">
    <w:p w:rsidR="00000000" w:rsidRDefault="00F60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0DB3">
      <w:pPr>
        <w:spacing w:line="240" w:lineRule="auto"/>
      </w:pPr>
      <w:r>
        <w:separator/>
      </w:r>
    </w:p>
  </w:footnote>
  <w:footnote w:type="continuationSeparator" w:id="0">
    <w:p w:rsidR="00000000" w:rsidRDefault="00F60DB3">
      <w:pPr>
        <w:spacing w:line="240" w:lineRule="auto"/>
      </w:pPr>
      <w:r>
        <w:continuationSeparator/>
      </w:r>
    </w:p>
  </w:footnote>
  <w:footnote w:id="1">
    <w:p w:rsidR="00415F7C" w:rsidRDefault="00F60DB3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Based on the so-called </w:t>
      </w:r>
      <w:r>
        <w:rPr>
          <w:rFonts w:ascii="Calibri" w:eastAsia="Calibri" w:hAnsi="Calibri" w:cs="Calibri"/>
          <w:sz w:val="18"/>
          <w:szCs w:val="18"/>
        </w:rPr>
        <w:t xml:space="preserve">5C framework (originally developed by ECDPM). The list in this document are capabilities that have emerged as important to achieve L&amp;A goals and outcomes in the International </w:t>
      </w:r>
      <w:proofErr w:type="gramStart"/>
      <w:r>
        <w:rPr>
          <w:rFonts w:ascii="Calibri" w:eastAsia="Calibri" w:hAnsi="Calibri" w:cs="Calibri"/>
          <w:sz w:val="18"/>
          <w:szCs w:val="18"/>
        </w:rPr>
        <w:t>L&amp;A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(ILA) evaluation of the Dutch MFS II </w:t>
      </w:r>
      <w:proofErr w:type="spellStart"/>
      <w:r>
        <w:rPr>
          <w:rFonts w:ascii="Calibri" w:eastAsia="Calibri" w:hAnsi="Calibri" w:cs="Calibri"/>
          <w:sz w:val="18"/>
          <w:szCs w:val="18"/>
        </w:rPr>
        <w:t>programme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You can find the ILA report </w:t>
      </w:r>
      <w:hyperlink r:id="rId1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here</w:t>
        </w:r>
      </w:hyperlink>
      <w:r>
        <w:rPr>
          <w:rFonts w:ascii="Calibri" w:eastAsia="Calibri" w:hAnsi="Calibri" w:cs="Calibri"/>
          <w:sz w:val="18"/>
          <w:szCs w:val="18"/>
        </w:rPr>
        <w:t xml:space="preserve">. The general 5C model consist of 5 capabilities that are closely linked to each other: </w:t>
      </w:r>
    </w:p>
    <w:p w:rsidR="00415F7C" w:rsidRDefault="00F60DB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Capability to commit to and act on a Long-term vision</w:t>
      </w:r>
    </w:p>
    <w:p w:rsidR="00415F7C" w:rsidRDefault="00F60DB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z w:val="18"/>
          <w:szCs w:val="18"/>
        </w:rPr>
        <w:t>pability to deliver on objectives</w:t>
      </w:r>
    </w:p>
    <w:p w:rsidR="00415F7C" w:rsidRDefault="00F60DB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Capability to adapt and self-renew</w:t>
      </w:r>
    </w:p>
    <w:p w:rsidR="00415F7C" w:rsidRDefault="00F60DB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Capability to relate </w:t>
      </w:r>
    </w:p>
    <w:p w:rsidR="00415F7C" w:rsidRDefault="00F60DB3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Capability to achieve coherence</w:t>
      </w:r>
    </w:p>
    <w:p w:rsidR="00415F7C" w:rsidRDefault="00F60DB3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We have added a category specific to the work of </w:t>
      </w:r>
      <w:proofErr w:type="spellStart"/>
      <w:r>
        <w:rPr>
          <w:rFonts w:ascii="Calibri" w:eastAsia="Calibri" w:hAnsi="Calibri" w:cs="Calibri"/>
          <w:sz w:val="18"/>
          <w:szCs w:val="18"/>
        </w:rPr>
        <w:t>infomediaries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in Open Contacting under OC</w:t>
      </w:r>
      <w:hyperlink r:id="rId2" w:history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9E5"/>
    <w:multiLevelType w:val="multilevel"/>
    <w:tmpl w:val="F4423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56029D"/>
    <w:multiLevelType w:val="multilevel"/>
    <w:tmpl w:val="B9F6AC8E"/>
    <w:lvl w:ilvl="0">
      <w:start w:val="1"/>
      <w:numFmt w:val="decimal"/>
      <w:lvlText w:val="C.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C.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C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C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C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C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C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C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C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7C"/>
    <w:rsid w:val="00415F7C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7A67D-8591-4991-9CAD-28D0077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Open Sans" w:eastAsia="Open Sans" w:hAnsi="Open Sans" w:cs="Open Sans"/>
      <w:color w:val="434343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rFonts w:ascii="Open Sans" w:eastAsia="Open Sans" w:hAnsi="Open Sans" w:cs="Open Sans"/>
      <w:color w:val="CC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rFonts w:ascii="Open Sans" w:eastAsia="Open Sans" w:hAnsi="Open Sans" w:cs="Open Sans"/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Open Sans" w:eastAsia="Open Sans" w:hAnsi="Open Sans" w:cs="Open Sans"/>
      <w:color w:val="CC0000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rFonts w:ascii="Open Sans" w:eastAsia="Open Sans" w:hAnsi="Open Sans" w:cs="Open Sans"/>
      <w:i/>
      <w:color w:val="434343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rFonts w:ascii="Open Sans" w:eastAsia="Open Sans" w:hAnsi="Open Sans" w:cs="Open Sans"/>
      <w:i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rFonts w:ascii="Open Sans" w:eastAsia="Open Sans" w:hAnsi="Open Sans" w:cs="Open Sans"/>
      <w:color w:val="CC0000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Open Sans" w:eastAsia="Open Sans" w:hAnsi="Open Sans" w:cs="Open Sans"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os.nl/fileadmin/files/Documents/10._Int._Lobby___Advocacy_endline_report.pdf" TargetMode="External"/><Relationship Id="rId1" Type="http://schemas.openxmlformats.org/officeDocument/2006/relationships/hyperlink" Target="https://partos.nl/fileadmin/files/Documents/10._Int._Lobby___Advocacy_endline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Hivos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Ruggles</dc:creator>
  <cp:lastModifiedBy>Melissa Ruggles</cp:lastModifiedBy>
  <cp:revision>2</cp:revision>
  <dcterms:created xsi:type="dcterms:W3CDTF">2017-09-21T13:34:00Z</dcterms:created>
  <dcterms:modified xsi:type="dcterms:W3CDTF">2017-09-21T13:34:00Z</dcterms:modified>
</cp:coreProperties>
</file>